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121BD" w14:textId="1B744F62" w:rsidR="002F2BB6" w:rsidRPr="002C6A29" w:rsidRDefault="007D79F3" w:rsidP="002F2BB6">
      <w:pPr>
        <w:spacing w:line="360" w:lineRule="auto"/>
        <w:jc w:val="right"/>
        <w:rPr>
          <w:rFonts w:ascii="Times New Roman" w:hAnsi="Times New Roman"/>
          <w:b/>
          <w:bCs/>
          <w:i/>
          <w:iCs/>
          <w:szCs w:val="24"/>
          <w:lang w:val="lv-LV"/>
        </w:rPr>
      </w:pPr>
      <w:bookmarkStart w:id="0" w:name="_Hlk104378514"/>
      <w:r w:rsidRPr="00B448EC">
        <w:rPr>
          <w:rFonts w:ascii="Times New Roman" w:hAnsi="Times New Roman"/>
          <w:szCs w:val="24"/>
          <w:lang w:val="lv-LV"/>
        </w:rPr>
        <w:t xml:space="preserve">                             </w:t>
      </w:r>
      <w:bookmarkStart w:id="1" w:name="_Toc295123134"/>
      <w:bookmarkStart w:id="2" w:name="_Toc295310640"/>
      <w:bookmarkStart w:id="3" w:name="_Toc326667541"/>
      <w:bookmarkStart w:id="4" w:name="_Toc326667568"/>
      <w:bookmarkEnd w:id="0"/>
      <w:r w:rsidR="002F2BB6" w:rsidRPr="002C6A29">
        <w:rPr>
          <w:rFonts w:ascii="Times New Roman" w:hAnsi="Times New Roman"/>
          <w:szCs w:val="24"/>
          <w:lang w:val="lv-LV"/>
        </w:rPr>
        <w:t xml:space="preserve">                            </w:t>
      </w:r>
      <w:r w:rsidR="002F2BB6">
        <w:rPr>
          <w:rFonts w:ascii="Times New Roman" w:hAnsi="Times New Roman"/>
          <w:i/>
          <w:iCs/>
          <w:szCs w:val="24"/>
          <w:lang w:val="lv-LV"/>
        </w:rPr>
        <w:t xml:space="preserve">Cenu aptaujas </w:t>
      </w:r>
      <w:r w:rsidR="0039071A">
        <w:rPr>
          <w:rFonts w:ascii="Times New Roman" w:hAnsi="Times New Roman"/>
          <w:i/>
          <w:iCs/>
          <w:szCs w:val="24"/>
          <w:lang w:val="lv-LV"/>
        </w:rPr>
        <w:t>nolikuma</w:t>
      </w:r>
      <w:r w:rsidR="002F2BB6">
        <w:rPr>
          <w:rFonts w:ascii="Times New Roman" w:hAnsi="Times New Roman"/>
          <w:i/>
          <w:iCs/>
          <w:szCs w:val="24"/>
          <w:lang w:val="lv-LV"/>
        </w:rPr>
        <w:t xml:space="preserve"> pielikuma</w:t>
      </w:r>
      <w:r w:rsidR="002F2BB6" w:rsidRPr="002C6A29">
        <w:rPr>
          <w:rFonts w:ascii="Times New Roman" w:hAnsi="Times New Roman"/>
          <w:bCs/>
          <w:i/>
          <w:iCs/>
          <w:szCs w:val="24"/>
          <w:lang w:val="lv-LV"/>
        </w:rPr>
        <w:t xml:space="preserve"> Nr. </w:t>
      </w:r>
      <w:r w:rsidR="002F2BB6">
        <w:rPr>
          <w:rFonts w:ascii="Times New Roman" w:hAnsi="Times New Roman"/>
          <w:bCs/>
          <w:i/>
          <w:iCs/>
          <w:szCs w:val="24"/>
          <w:lang w:val="lv-LV"/>
        </w:rPr>
        <w:t>1</w:t>
      </w:r>
    </w:p>
    <w:p w14:paraId="75B854E1" w14:textId="4C469553" w:rsidR="002F2BB6" w:rsidRPr="00707067" w:rsidRDefault="002F2BB6" w:rsidP="002F2BB6">
      <w:pPr>
        <w:pStyle w:val="Bezatstarpm"/>
        <w:jc w:val="center"/>
        <w:rPr>
          <w:b/>
          <w:bCs/>
          <w:lang w:val="lv-LV"/>
        </w:rPr>
      </w:pPr>
      <w:r w:rsidRPr="00707067">
        <w:rPr>
          <w:b/>
          <w:bCs/>
          <w:lang w:val="lv-LV"/>
        </w:rPr>
        <w:t>Tehniskā specifikācija</w:t>
      </w:r>
    </w:p>
    <w:p w14:paraId="2925CF18" w14:textId="77777777" w:rsidR="0039071A" w:rsidRPr="009669CC" w:rsidRDefault="0039071A" w:rsidP="0039071A">
      <w:pPr>
        <w:pStyle w:val="Bezatstarpm"/>
        <w:jc w:val="center"/>
        <w:rPr>
          <w:rFonts w:ascii="Times New Roman" w:hAnsi="Times New Roman"/>
          <w:bCs/>
          <w:szCs w:val="24"/>
        </w:rPr>
      </w:pPr>
      <w:bookmarkStart w:id="5" w:name="_Hlk121388524"/>
      <w:r w:rsidRPr="009669CC">
        <w:rPr>
          <w:rFonts w:ascii="Times New Roman" w:hAnsi="Times New Roman"/>
          <w:bCs/>
          <w:szCs w:val="24"/>
        </w:rPr>
        <w:t>“</w:t>
      </w:r>
      <w:r>
        <w:rPr>
          <w:rFonts w:ascii="Times New Roman" w:hAnsi="Times New Roman"/>
          <w:bCs/>
          <w:szCs w:val="24"/>
        </w:rPr>
        <w:t>K</w:t>
      </w:r>
      <w:r w:rsidRPr="00891075">
        <w:rPr>
          <w:rFonts w:ascii="Times New Roman" w:hAnsi="Times New Roman"/>
          <w:bCs/>
          <w:szCs w:val="24"/>
        </w:rPr>
        <w:t>urin</w:t>
      </w:r>
      <w:r w:rsidRPr="00891075">
        <w:rPr>
          <w:rFonts w:ascii="Times New Roman" w:hAnsi="Times New Roman" w:hint="eastAsia"/>
          <w:bCs/>
          <w:szCs w:val="24"/>
        </w:rPr>
        <w:t>ā</w:t>
      </w:r>
      <w:r w:rsidRPr="00891075">
        <w:rPr>
          <w:rFonts w:ascii="Times New Roman" w:hAnsi="Times New Roman"/>
          <w:bCs/>
          <w:szCs w:val="24"/>
        </w:rPr>
        <w:t>m</w:t>
      </w:r>
      <w:r w:rsidRPr="00891075">
        <w:rPr>
          <w:rFonts w:ascii="Times New Roman" w:hAnsi="Times New Roman" w:hint="eastAsia"/>
          <w:bCs/>
          <w:szCs w:val="24"/>
        </w:rPr>
        <w:t>ā</w:t>
      </w:r>
      <w:r w:rsidRPr="00891075">
        <w:rPr>
          <w:rFonts w:ascii="Times New Roman" w:hAnsi="Times New Roman"/>
          <w:bCs/>
          <w:szCs w:val="24"/>
        </w:rPr>
        <w:t>s š</w:t>
      </w:r>
      <w:r w:rsidRPr="00891075">
        <w:rPr>
          <w:rFonts w:ascii="Times New Roman" w:hAnsi="Times New Roman" w:hint="eastAsia"/>
          <w:bCs/>
          <w:szCs w:val="24"/>
        </w:rPr>
        <w:t>ķ</w:t>
      </w:r>
      <w:r w:rsidRPr="00891075">
        <w:rPr>
          <w:rFonts w:ascii="Times New Roman" w:hAnsi="Times New Roman"/>
          <w:bCs/>
          <w:szCs w:val="24"/>
        </w:rPr>
        <w:t>eldas pieg</w:t>
      </w:r>
      <w:r w:rsidRPr="00891075">
        <w:rPr>
          <w:rFonts w:ascii="Times New Roman" w:hAnsi="Times New Roman" w:hint="eastAsia"/>
          <w:bCs/>
          <w:szCs w:val="24"/>
        </w:rPr>
        <w:t>ā</w:t>
      </w:r>
      <w:r w:rsidRPr="00891075">
        <w:rPr>
          <w:rFonts w:ascii="Times New Roman" w:hAnsi="Times New Roman"/>
          <w:bCs/>
          <w:szCs w:val="24"/>
        </w:rPr>
        <w:t>d</w:t>
      </w:r>
      <w:r>
        <w:rPr>
          <w:rFonts w:ascii="Times New Roman" w:hAnsi="Times New Roman"/>
          <w:bCs/>
          <w:szCs w:val="24"/>
        </w:rPr>
        <w:t>e</w:t>
      </w:r>
      <w:r w:rsidRPr="00891075">
        <w:rPr>
          <w:rFonts w:ascii="Times New Roman" w:hAnsi="Times New Roman"/>
          <w:bCs/>
          <w:szCs w:val="24"/>
        </w:rPr>
        <w:t xml:space="preserve"> 2024./2025.gada period</w:t>
      </w:r>
      <w:r w:rsidRPr="00891075">
        <w:rPr>
          <w:rFonts w:ascii="Times New Roman" w:hAnsi="Times New Roman" w:hint="eastAsia"/>
          <w:bCs/>
          <w:szCs w:val="24"/>
        </w:rPr>
        <w:t>ā</w:t>
      </w:r>
      <w:r w:rsidRPr="009669CC">
        <w:rPr>
          <w:rFonts w:ascii="Times New Roman" w:hAnsi="Times New Roman" w:hint="eastAsia"/>
          <w:bCs/>
          <w:szCs w:val="24"/>
        </w:rPr>
        <w:t>”</w:t>
      </w:r>
    </w:p>
    <w:bookmarkEnd w:id="5"/>
    <w:p w14:paraId="6A8246F8" w14:textId="3706D525" w:rsidR="0079167E" w:rsidRPr="00185A71" w:rsidRDefault="0079167E" w:rsidP="002F2BB6">
      <w:pPr>
        <w:spacing w:line="360" w:lineRule="auto"/>
        <w:jc w:val="right"/>
        <w:rPr>
          <w:lang w:val="lv-LV" w:eastAsia="x-none"/>
        </w:rPr>
      </w:pPr>
    </w:p>
    <w:p w14:paraId="2B3A3FB3" w14:textId="656461B8" w:rsidR="007D79F3" w:rsidRPr="00D4119C" w:rsidRDefault="0079167E" w:rsidP="0079167E">
      <w:pPr>
        <w:pStyle w:val="Bezatstarpm"/>
        <w:numPr>
          <w:ilvl w:val="0"/>
          <w:numId w:val="3"/>
        </w:numPr>
        <w:jc w:val="both"/>
        <w:rPr>
          <w:lang w:val="lv-LV"/>
        </w:rPr>
      </w:pPr>
      <w:r w:rsidRPr="00185A71">
        <w:rPr>
          <w:lang w:val="lv-LV"/>
        </w:rPr>
        <w:t>Tehniskās specifikācijas prasības attiecas un ir piemērojamas</w:t>
      </w:r>
      <w:r w:rsidRPr="00D4119C">
        <w:rPr>
          <w:lang w:val="lv-LV"/>
        </w:rPr>
        <w:t xml:space="preserve"> katram</w:t>
      </w:r>
      <w:r w:rsidR="00143181" w:rsidRPr="00D4119C">
        <w:rPr>
          <w:lang w:val="lv-LV"/>
        </w:rPr>
        <w:t xml:space="preserve"> kurināmās šķeldas (turpmāk – šķelda/kurināmais)</w:t>
      </w:r>
      <w:r w:rsidRPr="00D4119C">
        <w:rPr>
          <w:lang w:val="lv-LV"/>
        </w:rPr>
        <w:t xml:space="preserve"> p</w:t>
      </w:r>
      <w:r w:rsidR="007D79F3" w:rsidRPr="00D4119C">
        <w:rPr>
          <w:lang w:val="lv-LV"/>
        </w:rPr>
        <w:t>iegādes apjom</w:t>
      </w:r>
      <w:bookmarkEnd w:id="1"/>
      <w:bookmarkEnd w:id="2"/>
      <w:bookmarkEnd w:id="3"/>
      <w:bookmarkEnd w:id="4"/>
      <w:r w:rsidRPr="00D4119C">
        <w:rPr>
          <w:lang w:val="lv-LV"/>
        </w:rPr>
        <w:t>am (kravai).</w:t>
      </w:r>
    </w:p>
    <w:p w14:paraId="36299A54" w14:textId="3BA91967" w:rsidR="007D79F3" w:rsidRPr="00D4119C" w:rsidRDefault="007D79F3" w:rsidP="0079167E">
      <w:pPr>
        <w:pStyle w:val="Bezatstarpm"/>
        <w:numPr>
          <w:ilvl w:val="0"/>
          <w:numId w:val="3"/>
        </w:numPr>
        <w:jc w:val="both"/>
        <w:rPr>
          <w:lang w:val="lv-LV"/>
        </w:rPr>
      </w:pPr>
      <w:r w:rsidRPr="00D4119C">
        <w:rPr>
          <w:lang w:val="lv-LV"/>
        </w:rPr>
        <w:t>Piegādātās šķeldas maksimāli pieļaujamais relatīvais mitrums ne vairāk kā 5</w:t>
      </w:r>
      <w:r w:rsidR="00707067">
        <w:rPr>
          <w:lang w:val="lv-LV"/>
        </w:rPr>
        <w:t>5</w:t>
      </w:r>
      <w:r w:rsidRPr="00D4119C">
        <w:rPr>
          <w:lang w:val="lv-LV"/>
        </w:rPr>
        <w:t>% un zemākā kurināmā siltumspēja (Q</w:t>
      </w:r>
      <w:r w:rsidRPr="00D4119C">
        <w:rPr>
          <w:vertAlign w:val="subscript"/>
          <w:lang w:val="lv-LV"/>
        </w:rPr>
        <w:t>z</w:t>
      </w:r>
      <w:r w:rsidRPr="00D4119C">
        <w:rPr>
          <w:vertAlign w:val="superscript"/>
          <w:lang w:val="lv-LV"/>
        </w:rPr>
        <w:t>d</w:t>
      </w:r>
      <w:r w:rsidRPr="00D4119C">
        <w:rPr>
          <w:lang w:val="lv-LV"/>
        </w:rPr>
        <w:t xml:space="preserve">) ne mazāka par </w:t>
      </w:r>
      <w:r w:rsidR="00707067">
        <w:rPr>
          <w:lang w:val="lv-LV"/>
        </w:rPr>
        <w:t>1,961</w:t>
      </w:r>
      <w:r w:rsidRPr="00D4119C">
        <w:rPr>
          <w:lang w:val="lv-LV"/>
        </w:rPr>
        <w:t xml:space="preserve"> MWh/t.</w:t>
      </w:r>
    </w:p>
    <w:p w14:paraId="75124CFF" w14:textId="77777777" w:rsidR="007D79F3" w:rsidRPr="00D4119C" w:rsidRDefault="007D79F3" w:rsidP="0079167E">
      <w:pPr>
        <w:pStyle w:val="Bezatstarpm"/>
        <w:numPr>
          <w:ilvl w:val="0"/>
          <w:numId w:val="3"/>
        </w:numPr>
        <w:jc w:val="both"/>
        <w:rPr>
          <w:lang w:val="lv-LV"/>
        </w:rPr>
      </w:pPr>
      <w:r w:rsidRPr="00D4119C">
        <w:rPr>
          <w:lang w:val="lv-LV"/>
        </w:rPr>
        <w:t>Piegādātās šķeldas minimāli pieļaujamais relatīvais mitrums ne zemāk kā 35%, ar zemāko kurināmā siltumspēju (Q</w:t>
      </w:r>
      <w:r w:rsidRPr="00D4119C">
        <w:rPr>
          <w:vertAlign w:val="subscript"/>
          <w:lang w:val="lv-LV"/>
        </w:rPr>
        <w:t>z</w:t>
      </w:r>
      <w:r w:rsidRPr="00D4119C">
        <w:rPr>
          <w:vertAlign w:val="superscript"/>
          <w:lang w:val="lv-LV"/>
        </w:rPr>
        <w:t>d</w:t>
      </w:r>
      <w:r w:rsidRPr="00D4119C">
        <w:rPr>
          <w:lang w:val="lv-LV"/>
        </w:rPr>
        <w:t>) ne mazāka par 3,133 MWh/t.</w:t>
      </w:r>
    </w:p>
    <w:p w14:paraId="5A20D396" w14:textId="039C4124" w:rsidR="007D79F3" w:rsidRPr="00D4119C" w:rsidRDefault="007D79F3" w:rsidP="0079167E">
      <w:pPr>
        <w:pStyle w:val="Bezatstarpm"/>
        <w:numPr>
          <w:ilvl w:val="0"/>
          <w:numId w:val="3"/>
        </w:numPr>
        <w:jc w:val="both"/>
        <w:rPr>
          <w:lang w:val="lv-LV"/>
        </w:rPr>
      </w:pPr>
      <w:r w:rsidRPr="00D4119C">
        <w:rPr>
          <w:lang w:val="lv-LV"/>
        </w:rPr>
        <w:t>Kurināmā</w:t>
      </w:r>
      <w:r w:rsidR="00143181" w:rsidRPr="00D4119C">
        <w:rPr>
          <w:lang w:val="lv-LV"/>
        </w:rPr>
        <w:t>s</w:t>
      </w:r>
      <w:r w:rsidRPr="00D4119C">
        <w:rPr>
          <w:lang w:val="lv-LV"/>
        </w:rPr>
        <w:t xml:space="preserve"> īpašības (% saturs):</w:t>
      </w:r>
    </w:p>
    <w:p w14:paraId="3862128F" w14:textId="2EEC69ED" w:rsidR="007D79F3" w:rsidRPr="00D4119C" w:rsidRDefault="00143181" w:rsidP="003F394A">
      <w:pPr>
        <w:pStyle w:val="Bezatstarpm"/>
        <w:numPr>
          <w:ilvl w:val="1"/>
          <w:numId w:val="3"/>
        </w:numPr>
        <w:ind w:left="993" w:hanging="633"/>
        <w:jc w:val="both"/>
        <w:rPr>
          <w:lang w:val="lv-LV"/>
        </w:rPr>
      </w:pPr>
      <w:r w:rsidRPr="00D4119C">
        <w:rPr>
          <w:lang w:val="lv-LV"/>
        </w:rPr>
        <w:t>š</w:t>
      </w:r>
      <w:r w:rsidR="007D79F3" w:rsidRPr="00D4119C">
        <w:rPr>
          <w:lang w:val="lv-LV"/>
        </w:rPr>
        <w:t>ķelda ne mazāk kā 80%</w:t>
      </w:r>
      <w:r w:rsidR="003F394A" w:rsidRPr="00D4119C">
        <w:rPr>
          <w:lang w:val="lv-LV"/>
        </w:rPr>
        <w:t>;</w:t>
      </w:r>
    </w:p>
    <w:p w14:paraId="256ED576" w14:textId="61E4E0A9" w:rsidR="007D79F3" w:rsidRPr="00D4119C" w:rsidRDefault="00143181" w:rsidP="003F394A">
      <w:pPr>
        <w:pStyle w:val="Bezatstarpm"/>
        <w:numPr>
          <w:ilvl w:val="1"/>
          <w:numId w:val="3"/>
        </w:numPr>
        <w:ind w:left="993" w:hanging="633"/>
        <w:jc w:val="both"/>
        <w:rPr>
          <w:lang w:val="lv-LV"/>
        </w:rPr>
      </w:pPr>
      <w:r w:rsidRPr="00D4119C">
        <w:rPr>
          <w:lang w:val="lv-LV"/>
        </w:rPr>
        <w:t>d</w:t>
      </w:r>
      <w:r w:rsidR="007D79F3" w:rsidRPr="00D4119C">
        <w:rPr>
          <w:lang w:val="lv-LV"/>
        </w:rPr>
        <w:t>rupināta miza līdz 15%;</w:t>
      </w:r>
    </w:p>
    <w:p w14:paraId="27FFDDB8" w14:textId="06FEA0B8" w:rsidR="007D79F3" w:rsidRPr="00D4119C" w:rsidRDefault="00143181" w:rsidP="003F394A">
      <w:pPr>
        <w:pStyle w:val="Bezatstarpm"/>
        <w:numPr>
          <w:ilvl w:val="1"/>
          <w:numId w:val="3"/>
        </w:numPr>
        <w:ind w:left="993" w:hanging="633"/>
        <w:jc w:val="both"/>
        <w:rPr>
          <w:lang w:val="lv-LV"/>
        </w:rPr>
      </w:pPr>
      <w:r w:rsidRPr="00D4119C">
        <w:rPr>
          <w:lang w:val="lv-LV"/>
        </w:rPr>
        <w:t>z</w:t>
      </w:r>
      <w:r w:rsidR="007D79F3" w:rsidRPr="00D4119C">
        <w:rPr>
          <w:lang w:val="lv-LV"/>
        </w:rPr>
        <w:t>āģskaidas līdz 3%.</w:t>
      </w:r>
    </w:p>
    <w:p w14:paraId="1DE9AB1F" w14:textId="6F8DEEE3" w:rsidR="007D79F3" w:rsidRPr="00D4119C" w:rsidRDefault="007D79F3" w:rsidP="0079167E">
      <w:pPr>
        <w:pStyle w:val="Bezatstarpm"/>
        <w:numPr>
          <w:ilvl w:val="0"/>
          <w:numId w:val="3"/>
        </w:numPr>
        <w:jc w:val="both"/>
        <w:rPr>
          <w:lang w:val="lv-LV"/>
        </w:rPr>
      </w:pPr>
      <w:r w:rsidRPr="00D4119C">
        <w:rPr>
          <w:lang w:val="lv-LV"/>
        </w:rPr>
        <w:t>Šķeldas vidējie izmēri G x P x B</w:t>
      </w:r>
      <w:r w:rsidR="003B7E6A" w:rsidRPr="00D4119C">
        <w:rPr>
          <w:lang w:val="lv-LV"/>
        </w:rPr>
        <w:t>:</w:t>
      </w:r>
      <w:r w:rsidRPr="00D4119C">
        <w:rPr>
          <w:lang w:val="lv-LV"/>
        </w:rPr>
        <w:t xml:space="preserve"> 50 x 40 x 15</w:t>
      </w:r>
      <w:r w:rsidR="003B7E6A" w:rsidRPr="00D4119C">
        <w:rPr>
          <w:lang w:val="lv-LV"/>
        </w:rPr>
        <w:t xml:space="preserve"> </w:t>
      </w:r>
      <w:r w:rsidRPr="00D4119C">
        <w:rPr>
          <w:lang w:val="lv-LV"/>
        </w:rPr>
        <w:t>mm.</w:t>
      </w:r>
    </w:p>
    <w:p w14:paraId="28567E7C" w14:textId="7A5C59E2" w:rsidR="007D79F3" w:rsidRPr="00D4119C" w:rsidRDefault="003B7E6A" w:rsidP="0079167E">
      <w:pPr>
        <w:pStyle w:val="Bezatstarpm"/>
        <w:numPr>
          <w:ilvl w:val="0"/>
          <w:numId w:val="3"/>
        </w:numPr>
        <w:jc w:val="both"/>
        <w:rPr>
          <w:lang w:val="lv-LV"/>
        </w:rPr>
      </w:pPr>
      <w:r w:rsidRPr="00D4119C">
        <w:rPr>
          <w:lang w:val="lv-LV"/>
        </w:rPr>
        <w:t>Šķeldas i</w:t>
      </w:r>
      <w:r w:rsidR="007D79F3" w:rsidRPr="00D4119C">
        <w:rPr>
          <w:lang w:val="lv-LV"/>
        </w:rPr>
        <w:t>zmēri virs 150 mm pieļaujams līdz 2 % no katras kravas apjoma</w:t>
      </w:r>
      <w:r w:rsidRPr="00D4119C">
        <w:rPr>
          <w:lang w:val="lv-LV"/>
        </w:rPr>
        <w:t>.</w:t>
      </w:r>
    </w:p>
    <w:p w14:paraId="193F13B2" w14:textId="00C7EFFB" w:rsidR="007D79F3" w:rsidRPr="00D4119C" w:rsidRDefault="003B7E6A" w:rsidP="0079167E">
      <w:pPr>
        <w:pStyle w:val="Bezatstarpm"/>
        <w:numPr>
          <w:ilvl w:val="0"/>
          <w:numId w:val="3"/>
        </w:numPr>
        <w:jc w:val="both"/>
        <w:rPr>
          <w:lang w:val="lv-LV"/>
        </w:rPr>
      </w:pPr>
      <w:r w:rsidRPr="00D4119C">
        <w:rPr>
          <w:lang w:val="lv-LV"/>
        </w:rPr>
        <w:t>Šķeldas i</w:t>
      </w:r>
      <w:r w:rsidR="007D79F3" w:rsidRPr="00D4119C">
        <w:rPr>
          <w:lang w:val="lv-LV"/>
        </w:rPr>
        <w:t>zmēri zem 5 mm pieļaujams līdz 10 % no katras kravas apjoma</w:t>
      </w:r>
      <w:r w:rsidRPr="00D4119C">
        <w:rPr>
          <w:lang w:val="lv-LV"/>
        </w:rPr>
        <w:t>.</w:t>
      </w:r>
    </w:p>
    <w:p w14:paraId="23E3536E" w14:textId="77777777" w:rsidR="007D79F3" w:rsidRPr="00D4119C" w:rsidRDefault="007D79F3" w:rsidP="0079167E">
      <w:pPr>
        <w:pStyle w:val="Bezatstarpm"/>
        <w:numPr>
          <w:ilvl w:val="0"/>
          <w:numId w:val="3"/>
        </w:numPr>
        <w:jc w:val="both"/>
        <w:rPr>
          <w:lang w:val="lv-LV"/>
        </w:rPr>
      </w:pPr>
      <w:r w:rsidRPr="00D4119C">
        <w:rPr>
          <w:lang w:val="lv-LV"/>
        </w:rPr>
        <w:t>Šķeldā nedrīkst būt koksnes pārstrādes atkritumi, kas neatbilst minētajiem izmēriem.</w:t>
      </w:r>
    </w:p>
    <w:p w14:paraId="63046C8A" w14:textId="146C03B1" w:rsidR="007D79F3" w:rsidRPr="00D4119C" w:rsidRDefault="007D79F3" w:rsidP="0079167E">
      <w:pPr>
        <w:pStyle w:val="Bezatstarpm"/>
        <w:numPr>
          <w:ilvl w:val="0"/>
          <w:numId w:val="3"/>
        </w:numPr>
        <w:jc w:val="both"/>
        <w:rPr>
          <w:lang w:val="lv-LV"/>
        </w:rPr>
      </w:pPr>
      <w:r w:rsidRPr="00D4119C">
        <w:rPr>
          <w:lang w:val="lv-LV"/>
        </w:rPr>
        <w:t>Šķeldā nedrīkst būt smiltis, akmeņi, metāls</w:t>
      </w:r>
      <w:r w:rsidR="003B7E6A" w:rsidRPr="00D4119C">
        <w:rPr>
          <w:lang w:val="lv-LV"/>
        </w:rPr>
        <w:t>,</w:t>
      </w:r>
      <w:r w:rsidRPr="00D4119C">
        <w:rPr>
          <w:lang w:val="lv-LV"/>
        </w:rPr>
        <w:t xml:space="preserve"> citi materiāli (vielas), sniegs</w:t>
      </w:r>
      <w:r w:rsidR="003B7E6A" w:rsidRPr="00D4119C">
        <w:rPr>
          <w:lang w:val="lv-LV"/>
        </w:rPr>
        <w:t xml:space="preserve"> vai</w:t>
      </w:r>
      <w:r w:rsidRPr="00D4119C">
        <w:rPr>
          <w:lang w:val="lv-LV"/>
        </w:rPr>
        <w:t xml:space="preserve"> ledus.</w:t>
      </w:r>
    </w:p>
    <w:p w14:paraId="3BC4D235" w14:textId="01C9B298" w:rsidR="007D79F3" w:rsidRPr="00D4119C" w:rsidRDefault="007D79F3" w:rsidP="0079167E">
      <w:pPr>
        <w:pStyle w:val="Bezatstarpm"/>
        <w:numPr>
          <w:ilvl w:val="0"/>
          <w:numId w:val="3"/>
        </w:numPr>
        <w:jc w:val="both"/>
        <w:rPr>
          <w:lang w:val="lv-LV"/>
        </w:rPr>
      </w:pPr>
      <w:r w:rsidRPr="00D4119C">
        <w:rPr>
          <w:lang w:val="lv-LV"/>
        </w:rPr>
        <w:t xml:space="preserve">Šķelda nedrīkst būt </w:t>
      </w:r>
      <w:r w:rsidR="003B7E6A" w:rsidRPr="00D4119C">
        <w:rPr>
          <w:lang w:val="lv-LV"/>
        </w:rPr>
        <w:t>ar</w:t>
      </w:r>
      <w:r w:rsidRPr="00D4119C">
        <w:rPr>
          <w:lang w:val="lv-LV"/>
        </w:rPr>
        <w:t xml:space="preserve"> sadalī</w:t>
      </w:r>
      <w:r w:rsidR="003B7E6A" w:rsidRPr="00D4119C">
        <w:rPr>
          <w:lang w:val="lv-LV"/>
        </w:rPr>
        <w:t>šanās pazīmēm</w:t>
      </w:r>
      <w:r w:rsidRPr="00D4119C">
        <w:rPr>
          <w:lang w:val="lv-LV"/>
        </w:rPr>
        <w:t>. Šķelda nedrīkst būt no svaigi cirstas koksnes.</w:t>
      </w:r>
    </w:p>
    <w:p w14:paraId="08C12090" w14:textId="77777777" w:rsidR="007D79F3" w:rsidRPr="00D4119C" w:rsidRDefault="007D79F3" w:rsidP="0079167E">
      <w:pPr>
        <w:pStyle w:val="Bezatstarpm"/>
        <w:numPr>
          <w:ilvl w:val="0"/>
          <w:numId w:val="3"/>
        </w:numPr>
        <w:jc w:val="both"/>
        <w:rPr>
          <w:lang w:val="lv-LV"/>
        </w:rPr>
      </w:pPr>
      <w:r w:rsidRPr="00D4119C">
        <w:rPr>
          <w:lang w:val="lv-LV"/>
        </w:rPr>
        <w:t>Pelnu (</w:t>
      </w:r>
      <w:r w:rsidRPr="00D4119C">
        <w:t xml:space="preserve">LVS EN ISO 17225-1:2014 poz. A 5,0) </w:t>
      </w:r>
      <w:r w:rsidRPr="00D4119C">
        <w:rPr>
          <w:lang w:val="lv-LV"/>
        </w:rPr>
        <w:t>saturs kurināmajā līdz 4%.</w:t>
      </w:r>
    </w:p>
    <w:p w14:paraId="740AD79A" w14:textId="47FF6A40" w:rsidR="007D79F3" w:rsidRPr="005C5A6C" w:rsidRDefault="007D79F3" w:rsidP="0079167E">
      <w:pPr>
        <w:pStyle w:val="Bezatstarpm"/>
        <w:numPr>
          <w:ilvl w:val="0"/>
          <w:numId w:val="3"/>
        </w:numPr>
        <w:jc w:val="both"/>
        <w:rPr>
          <w:lang w:val="lv-LV"/>
        </w:rPr>
      </w:pPr>
      <w:r w:rsidRPr="00D4119C">
        <w:rPr>
          <w:spacing w:val="-3"/>
          <w:lang w:val="lv-LV"/>
        </w:rPr>
        <w:t xml:space="preserve">Radioaktīvais piesārņojums (mākslīgie radionuklīdi) piegādātās šķeldas kravā nedrīkst pārsniegt spēkā esošajos normatīvajos aktos noteikto limitu, bet ne vairāk kā 1 Bq/kg. Pelnu </w:t>
      </w:r>
      <w:r w:rsidRPr="005C5A6C">
        <w:rPr>
          <w:spacing w:val="-3"/>
          <w:lang w:val="lv-LV"/>
        </w:rPr>
        <w:t>īpatnējā radioaktivitāte nedrīkst pārsniegt noteikto limitu (Cs-137 radioizotopam 1000 Bq/kg).</w:t>
      </w:r>
    </w:p>
    <w:p w14:paraId="32196B2E" w14:textId="49321404" w:rsidR="002F2BB6" w:rsidRPr="005C5A6C" w:rsidRDefault="002F2BB6" w:rsidP="002F2BB6">
      <w:pPr>
        <w:pStyle w:val="Bezatstarpm"/>
        <w:numPr>
          <w:ilvl w:val="0"/>
          <w:numId w:val="3"/>
        </w:numPr>
        <w:jc w:val="both"/>
        <w:rPr>
          <w:spacing w:val="-3"/>
          <w:lang w:val="lv-LV"/>
        </w:rPr>
      </w:pPr>
      <w:r w:rsidRPr="005C5A6C">
        <w:rPr>
          <w:spacing w:val="-3"/>
          <w:lang w:val="lv-LV"/>
        </w:rPr>
        <w:t>Kurin</w:t>
      </w:r>
      <w:r w:rsidRPr="005C5A6C">
        <w:rPr>
          <w:rFonts w:hint="eastAsia"/>
          <w:spacing w:val="-3"/>
          <w:lang w:val="lv-LV"/>
        </w:rPr>
        <w:t>ā</w:t>
      </w:r>
      <w:r w:rsidRPr="005C5A6C">
        <w:rPr>
          <w:spacing w:val="-3"/>
          <w:lang w:val="lv-LV"/>
        </w:rPr>
        <w:t>m</w:t>
      </w:r>
      <w:r w:rsidRPr="005C5A6C">
        <w:rPr>
          <w:rFonts w:hint="eastAsia"/>
          <w:spacing w:val="-3"/>
          <w:lang w:val="lv-LV"/>
        </w:rPr>
        <w:t>ā</w:t>
      </w:r>
      <w:r w:rsidRPr="005C5A6C">
        <w:rPr>
          <w:spacing w:val="-3"/>
          <w:lang w:val="lv-LV"/>
        </w:rPr>
        <w:t xml:space="preserve"> š</w:t>
      </w:r>
      <w:r w:rsidRPr="005C5A6C">
        <w:rPr>
          <w:rFonts w:hint="eastAsia"/>
          <w:spacing w:val="-3"/>
          <w:lang w:val="lv-LV"/>
        </w:rPr>
        <w:t>ķ</w:t>
      </w:r>
      <w:r w:rsidRPr="005C5A6C">
        <w:rPr>
          <w:spacing w:val="-3"/>
          <w:lang w:val="lv-LV"/>
        </w:rPr>
        <w:t>elda atbilst (atbilst</w:t>
      </w:r>
      <w:r w:rsidRPr="005C5A6C">
        <w:rPr>
          <w:rFonts w:hint="eastAsia"/>
          <w:spacing w:val="-3"/>
          <w:lang w:val="lv-LV"/>
        </w:rPr>
        <w:t>ī</w:t>
      </w:r>
      <w:r w:rsidRPr="005C5A6C">
        <w:rPr>
          <w:spacing w:val="-3"/>
          <w:lang w:val="lv-LV"/>
        </w:rPr>
        <w:t>ba ir pamatojama un apliecin</w:t>
      </w:r>
      <w:r w:rsidRPr="005C5A6C">
        <w:rPr>
          <w:rFonts w:hint="eastAsia"/>
          <w:spacing w:val="-3"/>
          <w:lang w:val="lv-LV"/>
        </w:rPr>
        <w:t>ā</w:t>
      </w:r>
      <w:r w:rsidRPr="005C5A6C">
        <w:rPr>
          <w:spacing w:val="-3"/>
          <w:lang w:val="lv-LV"/>
        </w:rPr>
        <w:t>ma) likuma "Par atbilst</w:t>
      </w:r>
      <w:r w:rsidRPr="005C5A6C">
        <w:rPr>
          <w:rFonts w:hint="eastAsia"/>
          <w:spacing w:val="-3"/>
          <w:lang w:val="lv-LV"/>
        </w:rPr>
        <w:t>ī</w:t>
      </w:r>
      <w:r w:rsidRPr="005C5A6C">
        <w:rPr>
          <w:spacing w:val="-3"/>
          <w:lang w:val="lv-LV"/>
        </w:rPr>
        <w:t>bas nov</w:t>
      </w:r>
      <w:r w:rsidRPr="005C5A6C">
        <w:rPr>
          <w:rFonts w:hint="eastAsia"/>
          <w:spacing w:val="-3"/>
          <w:lang w:val="lv-LV"/>
        </w:rPr>
        <w:t>ē</w:t>
      </w:r>
      <w:r w:rsidRPr="005C5A6C">
        <w:rPr>
          <w:spacing w:val="-3"/>
          <w:lang w:val="lv-LV"/>
        </w:rPr>
        <w:t>rt</w:t>
      </w:r>
      <w:r w:rsidRPr="005C5A6C">
        <w:rPr>
          <w:rFonts w:hint="eastAsia"/>
          <w:spacing w:val="-3"/>
          <w:lang w:val="lv-LV"/>
        </w:rPr>
        <w:t>ēš</w:t>
      </w:r>
      <w:r w:rsidRPr="005C5A6C">
        <w:rPr>
          <w:spacing w:val="-3"/>
          <w:lang w:val="lv-LV"/>
        </w:rPr>
        <w:t>anu" 7. pant</w:t>
      </w:r>
      <w:r w:rsidRPr="005C5A6C">
        <w:rPr>
          <w:rFonts w:hint="eastAsia"/>
          <w:spacing w:val="-3"/>
          <w:lang w:val="lv-LV"/>
        </w:rPr>
        <w:t>ā</w:t>
      </w:r>
      <w:r w:rsidRPr="005C5A6C">
        <w:rPr>
          <w:spacing w:val="-3"/>
          <w:lang w:val="lv-LV"/>
        </w:rPr>
        <w:t xml:space="preserve"> noteikto noteikumu pras</w:t>
      </w:r>
      <w:r w:rsidRPr="005C5A6C">
        <w:rPr>
          <w:rFonts w:hint="eastAsia"/>
          <w:spacing w:val="-3"/>
          <w:lang w:val="lv-LV"/>
        </w:rPr>
        <w:t>ī</w:t>
      </w:r>
      <w:r w:rsidRPr="005C5A6C">
        <w:rPr>
          <w:spacing w:val="-3"/>
          <w:lang w:val="lv-LV"/>
        </w:rPr>
        <w:t>bu atbilst</w:t>
      </w:r>
      <w:r w:rsidRPr="005C5A6C">
        <w:rPr>
          <w:rFonts w:hint="eastAsia"/>
          <w:spacing w:val="-3"/>
          <w:lang w:val="lv-LV"/>
        </w:rPr>
        <w:t>ī</w:t>
      </w:r>
      <w:r w:rsidRPr="005C5A6C">
        <w:rPr>
          <w:spacing w:val="-3"/>
          <w:lang w:val="lv-LV"/>
        </w:rPr>
        <w:t>bai attiec</w:t>
      </w:r>
      <w:r w:rsidRPr="005C5A6C">
        <w:rPr>
          <w:rFonts w:hint="eastAsia"/>
          <w:spacing w:val="-3"/>
          <w:lang w:val="lv-LV"/>
        </w:rPr>
        <w:t>ī</w:t>
      </w:r>
      <w:r w:rsidRPr="005C5A6C">
        <w:rPr>
          <w:spacing w:val="-3"/>
          <w:lang w:val="lv-LV"/>
        </w:rPr>
        <w:t>b</w:t>
      </w:r>
      <w:r w:rsidRPr="005C5A6C">
        <w:rPr>
          <w:rFonts w:hint="eastAsia"/>
          <w:spacing w:val="-3"/>
          <w:lang w:val="lv-LV"/>
        </w:rPr>
        <w:t>ā</w:t>
      </w:r>
      <w:r w:rsidRPr="005C5A6C">
        <w:rPr>
          <w:spacing w:val="-3"/>
          <w:lang w:val="lv-LV"/>
        </w:rPr>
        <w:t xml:space="preserve"> uz ilgtsp</w:t>
      </w:r>
      <w:r w:rsidRPr="005C5A6C">
        <w:rPr>
          <w:rFonts w:hint="eastAsia"/>
          <w:spacing w:val="-3"/>
          <w:lang w:val="lv-LV"/>
        </w:rPr>
        <w:t>ē</w:t>
      </w:r>
      <w:r w:rsidRPr="005C5A6C">
        <w:rPr>
          <w:spacing w:val="-3"/>
          <w:lang w:val="lv-LV"/>
        </w:rPr>
        <w:t>jas un siltumn</w:t>
      </w:r>
      <w:r w:rsidRPr="005C5A6C">
        <w:rPr>
          <w:rFonts w:hint="eastAsia"/>
          <w:spacing w:val="-3"/>
          <w:lang w:val="lv-LV"/>
        </w:rPr>
        <w:t>ī</w:t>
      </w:r>
      <w:r w:rsidRPr="005C5A6C">
        <w:rPr>
          <w:spacing w:val="-3"/>
          <w:lang w:val="lv-LV"/>
        </w:rPr>
        <w:t>cefekta g</w:t>
      </w:r>
      <w:r w:rsidRPr="005C5A6C">
        <w:rPr>
          <w:rFonts w:hint="eastAsia"/>
          <w:spacing w:val="-3"/>
          <w:lang w:val="lv-LV"/>
        </w:rPr>
        <w:t>ā</w:t>
      </w:r>
      <w:r w:rsidRPr="005C5A6C">
        <w:rPr>
          <w:spacing w:val="-3"/>
          <w:lang w:val="lv-LV"/>
        </w:rPr>
        <w:t>zu emisiju ietaup</w:t>
      </w:r>
      <w:r w:rsidRPr="005C5A6C">
        <w:rPr>
          <w:rFonts w:hint="eastAsia"/>
          <w:spacing w:val="-3"/>
          <w:lang w:val="lv-LV"/>
        </w:rPr>
        <w:t>ī</w:t>
      </w:r>
      <w:r w:rsidRPr="005C5A6C">
        <w:rPr>
          <w:spacing w:val="-3"/>
          <w:lang w:val="lv-LV"/>
        </w:rPr>
        <w:t>juma krit</w:t>
      </w:r>
      <w:r w:rsidRPr="005C5A6C">
        <w:rPr>
          <w:rFonts w:hint="eastAsia"/>
          <w:spacing w:val="-3"/>
          <w:lang w:val="lv-LV"/>
        </w:rPr>
        <w:t>ē</w:t>
      </w:r>
      <w:r w:rsidRPr="005C5A6C">
        <w:rPr>
          <w:spacing w:val="-3"/>
          <w:lang w:val="lv-LV"/>
        </w:rPr>
        <w:t>rijiem.</w:t>
      </w:r>
    </w:p>
    <w:p w14:paraId="55D1543E" w14:textId="68DF24D3" w:rsidR="007D79F3" w:rsidRPr="005C5A6C" w:rsidRDefault="00D4119C" w:rsidP="0079167E">
      <w:pPr>
        <w:pStyle w:val="Bezatstarpm"/>
        <w:numPr>
          <w:ilvl w:val="0"/>
          <w:numId w:val="3"/>
        </w:numPr>
        <w:jc w:val="both"/>
        <w:rPr>
          <w:lang w:val="lv-LV"/>
        </w:rPr>
      </w:pPr>
      <w:r w:rsidRPr="005C5A6C">
        <w:rPr>
          <w:lang w:val="lv-LV"/>
        </w:rPr>
        <w:t>Plānotais</w:t>
      </w:r>
      <w:r w:rsidR="007D79F3" w:rsidRPr="005C5A6C">
        <w:rPr>
          <w:lang w:val="lv-LV"/>
        </w:rPr>
        <w:t xml:space="preserve"> apjoms (beramie m³) pa mēnešiem 202</w:t>
      </w:r>
      <w:r w:rsidR="00C94905">
        <w:rPr>
          <w:lang w:val="lv-LV"/>
        </w:rPr>
        <w:t>4</w:t>
      </w:r>
      <w:r w:rsidR="00707067" w:rsidRPr="005C5A6C">
        <w:rPr>
          <w:lang w:val="lv-LV"/>
        </w:rPr>
        <w:t>/202</w:t>
      </w:r>
      <w:r w:rsidR="00C94905">
        <w:rPr>
          <w:lang w:val="lv-LV"/>
        </w:rPr>
        <w:t>5</w:t>
      </w:r>
      <w:r w:rsidR="007D79F3" w:rsidRPr="005C5A6C">
        <w:rPr>
          <w:lang w:val="lv-LV"/>
        </w:rPr>
        <w:t>.g.:</w:t>
      </w:r>
    </w:p>
    <w:tbl>
      <w:tblPr>
        <w:tblW w:w="4193"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4038"/>
      </w:tblGrid>
      <w:tr w:rsidR="007D79F3" w:rsidRPr="005C5A6C" w14:paraId="13490FA1" w14:textId="77777777" w:rsidTr="00FB3A42">
        <w:trPr>
          <w:trHeight w:val="392"/>
        </w:trPr>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5A99A67D" w14:textId="77777777" w:rsidR="007D79F3" w:rsidRPr="005C5A6C" w:rsidRDefault="007D79F3" w:rsidP="0079167E">
            <w:pPr>
              <w:jc w:val="both"/>
              <w:rPr>
                <w:rFonts w:ascii="Times New Roman" w:hAnsi="Times New Roman"/>
                <w:szCs w:val="24"/>
                <w:lang w:val="lv-LV"/>
              </w:rPr>
            </w:pPr>
            <w:r w:rsidRPr="005C5A6C">
              <w:rPr>
                <w:rFonts w:ascii="Times New Roman" w:hAnsi="Times New Roman"/>
                <w:szCs w:val="24"/>
                <w:lang w:val="lv-LV"/>
              </w:rPr>
              <w:t>Piegādes periods</w:t>
            </w:r>
          </w:p>
        </w:tc>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14:paraId="5394ECB0" w14:textId="24867803" w:rsidR="007D79F3" w:rsidRPr="005C5A6C" w:rsidRDefault="007D79F3" w:rsidP="0079167E">
            <w:pPr>
              <w:jc w:val="both"/>
              <w:rPr>
                <w:rFonts w:ascii="Times New Roman" w:hAnsi="Times New Roman"/>
                <w:szCs w:val="24"/>
                <w:lang w:val="lv-LV"/>
              </w:rPr>
            </w:pPr>
            <w:r w:rsidRPr="005C5A6C">
              <w:rPr>
                <w:rFonts w:ascii="Times New Roman" w:hAnsi="Times New Roman"/>
                <w:szCs w:val="24"/>
                <w:lang w:val="lv-LV"/>
              </w:rPr>
              <w:t>Plānotais piegādes daudzums, beramie m³</w:t>
            </w:r>
            <w:r w:rsidR="00965581">
              <w:rPr>
                <w:rFonts w:ascii="Times New Roman" w:hAnsi="Times New Roman"/>
                <w:szCs w:val="24"/>
                <w:lang w:val="lv-LV"/>
              </w:rPr>
              <w:t>*</w:t>
            </w:r>
          </w:p>
        </w:tc>
      </w:tr>
      <w:tr w:rsidR="00965581" w:rsidRPr="005C5A6C" w14:paraId="2DA74EA7" w14:textId="77777777" w:rsidTr="00A67CCA">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723FA292" w14:textId="6540EBEB" w:rsidR="00965581" w:rsidRPr="005C5A6C" w:rsidRDefault="00965581" w:rsidP="00965581">
            <w:pPr>
              <w:jc w:val="both"/>
              <w:rPr>
                <w:rFonts w:ascii="Times New Roman" w:hAnsi="Times New Roman"/>
                <w:szCs w:val="24"/>
                <w:lang w:val="lv-LV"/>
              </w:rPr>
            </w:pPr>
            <w:r w:rsidRPr="005C5A6C">
              <w:rPr>
                <w:rFonts w:ascii="Times New Roman" w:hAnsi="Times New Roman"/>
                <w:szCs w:val="24"/>
                <w:lang w:val="lv-LV"/>
              </w:rPr>
              <w:t>Septembris</w:t>
            </w:r>
          </w:p>
        </w:tc>
        <w:tc>
          <w:tcPr>
            <w:tcW w:w="2664" w:type="pct"/>
            <w:tcBorders>
              <w:top w:val="single" w:sz="4" w:space="0" w:color="auto"/>
              <w:left w:val="single" w:sz="4" w:space="0" w:color="auto"/>
              <w:bottom w:val="single" w:sz="4" w:space="0" w:color="auto"/>
              <w:right w:val="single" w:sz="4" w:space="0" w:color="auto"/>
            </w:tcBorders>
            <w:shd w:val="clear" w:color="auto" w:fill="auto"/>
            <w:vAlign w:val="bottom"/>
          </w:tcPr>
          <w:p w14:paraId="0E4CA6CA" w14:textId="2C6F156D" w:rsidR="00965581" w:rsidRPr="005C5A6C" w:rsidRDefault="00965581" w:rsidP="00965581">
            <w:pPr>
              <w:jc w:val="both"/>
              <w:rPr>
                <w:rFonts w:ascii="Times New Roman" w:hAnsi="Times New Roman"/>
                <w:szCs w:val="24"/>
                <w:lang w:val="lv-LV"/>
              </w:rPr>
            </w:pPr>
            <w:r w:rsidRPr="00965581">
              <w:rPr>
                <w:rFonts w:ascii="Times New Roman" w:hAnsi="Times New Roman"/>
                <w:szCs w:val="24"/>
                <w:lang w:val="lv-LV"/>
              </w:rPr>
              <w:t>2000</w:t>
            </w:r>
          </w:p>
        </w:tc>
      </w:tr>
      <w:tr w:rsidR="00965581" w:rsidRPr="005C5A6C" w14:paraId="782212FB" w14:textId="77777777" w:rsidTr="00A67CCA">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06812A26" w14:textId="6334C5F9" w:rsidR="00965581" w:rsidRPr="005C5A6C" w:rsidRDefault="00965581" w:rsidP="00965581">
            <w:pPr>
              <w:jc w:val="both"/>
              <w:rPr>
                <w:rFonts w:ascii="Times New Roman" w:hAnsi="Times New Roman"/>
                <w:szCs w:val="24"/>
                <w:lang w:val="lv-LV"/>
              </w:rPr>
            </w:pPr>
            <w:r w:rsidRPr="005C5A6C">
              <w:rPr>
                <w:rFonts w:ascii="Times New Roman" w:hAnsi="Times New Roman"/>
                <w:szCs w:val="24"/>
                <w:lang w:val="lv-LV"/>
              </w:rPr>
              <w:t>Oktobris</w:t>
            </w:r>
          </w:p>
        </w:tc>
        <w:tc>
          <w:tcPr>
            <w:tcW w:w="2664" w:type="pct"/>
            <w:tcBorders>
              <w:top w:val="single" w:sz="4" w:space="0" w:color="auto"/>
              <w:left w:val="single" w:sz="4" w:space="0" w:color="auto"/>
              <w:bottom w:val="single" w:sz="4" w:space="0" w:color="auto"/>
              <w:right w:val="single" w:sz="4" w:space="0" w:color="auto"/>
            </w:tcBorders>
            <w:shd w:val="clear" w:color="auto" w:fill="auto"/>
            <w:vAlign w:val="bottom"/>
          </w:tcPr>
          <w:p w14:paraId="243AA03D" w14:textId="650E4E79" w:rsidR="00965581" w:rsidRPr="005C5A6C" w:rsidRDefault="00965581" w:rsidP="00965581">
            <w:pPr>
              <w:jc w:val="both"/>
              <w:rPr>
                <w:rFonts w:ascii="Times New Roman" w:hAnsi="Times New Roman"/>
                <w:szCs w:val="24"/>
                <w:lang w:val="lv-LV"/>
              </w:rPr>
            </w:pPr>
            <w:r w:rsidRPr="00965581">
              <w:rPr>
                <w:rFonts w:ascii="Times New Roman" w:hAnsi="Times New Roman"/>
                <w:szCs w:val="24"/>
                <w:lang w:val="lv-LV"/>
              </w:rPr>
              <w:t>6000</w:t>
            </w:r>
          </w:p>
        </w:tc>
      </w:tr>
      <w:tr w:rsidR="00965581" w:rsidRPr="005C5A6C" w14:paraId="2B78A3AA" w14:textId="77777777" w:rsidTr="00A67CCA">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4E3F2AAF" w14:textId="4110CDB4" w:rsidR="00965581" w:rsidRPr="005C5A6C" w:rsidRDefault="00965581" w:rsidP="00965581">
            <w:pPr>
              <w:jc w:val="both"/>
              <w:rPr>
                <w:rFonts w:ascii="Times New Roman" w:hAnsi="Times New Roman"/>
                <w:szCs w:val="24"/>
                <w:lang w:val="lv-LV"/>
              </w:rPr>
            </w:pPr>
            <w:r w:rsidRPr="005C5A6C">
              <w:rPr>
                <w:rFonts w:ascii="Times New Roman" w:hAnsi="Times New Roman"/>
                <w:szCs w:val="24"/>
                <w:lang w:val="lv-LV"/>
              </w:rPr>
              <w:t>Novembris</w:t>
            </w:r>
          </w:p>
        </w:tc>
        <w:tc>
          <w:tcPr>
            <w:tcW w:w="2664" w:type="pct"/>
            <w:tcBorders>
              <w:top w:val="single" w:sz="4" w:space="0" w:color="auto"/>
              <w:left w:val="single" w:sz="4" w:space="0" w:color="auto"/>
              <w:bottom w:val="single" w:sz="4" w:space="0" w:color="auto"/>
              <w:right w:val="single" w:sz="4" w:space="0" w:color="auto"/>
            </w:tcBorders>
            <w:shd w:val="clear" w:color="auto" w:fill="auto"/>
            <w:vAlign w:val="bottom"/>
          </w:tcPr>
          <w:p w14:paraId="68554D05" w14:textId="2CB5C049" w:rsidR="00965581" w:rsidRPr="005C5A6C" w:rsidRDefault="00965581" w:rsidP="00965581">
            <w:pPr>
              <w:jc w:val="both"/>
              <w:rPr>
                <w:rFonts w:ascii="Times New Roman" w:hAnsi="Times New Roman"/>
                <w:szCs w:val="24"/>
                <w:lang w:val="lv-LV"/>
              </w:rPr>
            </w:pPr>
            <w:r w:rsidRPr="00965581">
              <w:rPr>
                <w:rFonts w:ascii="Times New Roman" w:hAnsi="Times New Roman"/>
                <w:szCs w:val="24"/>
                <w:lang w:val="lv-LV"/>
              </w:rPr>
              <w:t>9000</w:t>
            </w:r>
          </w:p>
        </w:tc>
      </w:tr>
      <w:tr w:rsidR="00965581" w:rsidRPr="005C5A6C" w14:paraId="0F3E76EA" w14:textId="77777777" w:rsidTr="00A67CCA">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4E2B8B58" w14:textId="7A28BADE" w:rsidR="00965581" w:rsidRPr="005C5A6C" w:rsidRDefault="00965581" w:rsidP="00965581">
            <w:pPr>
              <w:jc w:val="both"/>
              <w:rPr>
                <w:rFonts w:ascii="Times New Roman" w:hAnsi="Times New Roman"/>
                <w:szCs w:val="24"/>
                <w:lang w:val="lv-LV"/>
              </w:rPr>
            </w:pPr>
            <w:r w:rsidRPr="005C5A6C">
              <w:rPr>
                <w:rFonts w:ascii="Times New Roman" w:hAnsi="Times New Roman"/>
                <w:szCs w:val="24"/>
                <w:lang w:val="lv-LV"/>
              </w:rPr>
              <w:t>Decembris</w:t>
            </w:r>
          </w:p>
        </w:tc>
        <w:tc>
          <w:tcPr>
            <w:tcW w:w="2664" w:type="pct"/>
            <w:tcBorders>
              <w:top w:val="single" w:sz="4" w:space="0" w:color="auto"/>
              <w:left w:val="single" w:sz="4" w:space="0" w:color="auto"/>
              <w:bottom w:val="single" w:sz="4" w:space="0" w:color="auto"/>
              <w:right w:val="single" w:sz="4" w:space="0" w:color="auto"/>
            </w:tcBorders>
            <w:shd w:val="clear" w:color="auto" w:fill="auto"/>
            <w:vAlign w:val="bottom"/>
          </w:tcPr>
          <w:p w14:paraId="778D9FF5" w14:textId="3C95C858" w:rsidR="00965581" w:rsidRPr="005C5A6C" w:rsidRDefault="00965581" w:rsidP="00965581">
            <w:pPr>
              <w:jc w:val="both"/>
              <w:rPr>
                <w:rFonts w:ascii="Times New Roman" w:hAnsi="Times New Roman"/>
                <w:szCs w:val="24"/>
                <w:lang w:val="lv-LV"/>
              </w:rPr>
            </w:pPr>
            <w:r w:rsidRPr="00965581">
              <w:rPr>
                <w:rFonts w:ascii="Times New Roman" w:hAnsi="Times New Roman"/>
                <w:szCs w:val="24"/>
                <w:lang w:val="lv-LV"/>
              </w:rPr>
              <w:t>10</w:t>
            </w:r>
            <w:r>
              <w:rPr>
                <w:rFonts w:ascii="Times New Roman" w:hAnsi="Times New Roman"/>
                <w:szCs w:val="24"/>
                <w:lang w:val="lv-LV"/>
              </w:rPr>
              <w:t xml:space="preserve"> </w:t>
            </w:r>
            <w:r w:rsidRPr="00965581">
              <w:rPr>
                <w:rFonts w:ascii="Times New Roman" w:hAnsi="Times New Roman"/>
                <w:szCs w:val="24"/>
                <w:lang w:val="lv-LV"/>
              </w:rPr>
              <w:t>000</w:t>
            </w:r>
          </w:p>
        </w:tc>
      </w:tr>
      <w:tr w:rsidR="00965581" w:rsidRPr="005C5A6C" w14:paraId="38AB3B25" w14:textId="77777777" w:rsidTr="00A67CCA">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220513BE" w14:textId="2832E042" w:rsidR="00965581" w:rsidRPr="005C5A6C" w:rsidRDefault="00965581" w:rsidP="00965581">
            <w:pPr>
              <w:jc w:val="both"/>
              <w:rPr>
                <w:rFonts w:ascii="Times New Roman" w:hAnsi="Times New Roman"/>
                <w:szCs w:val="24"/>
                <w:lang w:val="lv-LV"/>
              </w:rPr>
            </w:pPr>
            <w:r w:rsidRPr="005C5A6C">
              <w:rPr>
                <w:rFonts w:ascii="Times New Roman" w:hAnsi="Times New Roman"/>
                <w:szCs w:val="24"/>
                <w:lang w:val="lv-LV"/>
              </w:rPr>
              <w:t>Janvāris</w:t>
            </w:r>
          </w:p>
        </w:tc>
        <w:tc>
          <w:tcPr>
            <w:tcW w:w="2664" w:type="pct"/>
            <w:tcBorders>
              <w:top w:val="single" w:sz="4" w:space="0" w:color="auto"/>
              <w:left w:val="single" w:sz="4" w:space="0" w:color="auto"/>
              <w:bottom w:val="single" w:sz="4" w:space="0" w:color="auto"/>
              <w:right w:val="single" w:sz="4" w:space="0" w:color="auto"/>
            </w:tcBorders>
            <w:shd w:val="clear" w:color="auto" w:fill="auto"/>
            <w:vAlign w:val="bottom"/>
          </w:tcPr>
          <w:p w14:paraId="37D31A78" w14:textId="5933B853" w:rsidR="00965581" w:rsidRPr="005C5A6C" w:rsidRDefault="00965581" w:rsidP="00965581">
            <w:pPr>
              <w:jc w:val="both"/>
              <w:rPr>
                <w:rFonts w:ascii="Times New Roman" w:hAnsi="Times New Roman"/>
                <w:szCs w:val="24"/>
                <w:lang w:val="lv-LV"/>
              </w:rPr>
            </w:pPr>
            <w:r w:rsidRPr="00965581">
              <w:rPr>
                <w:rFonts w:ascii="Times New Roman" w:hAnsi="Times New Roman"/>
                <w:szCs w:val="24"/>
                <w:lang w:val="lv-LV"/>
              </w:rPr>
              <w:t>10</w:t>
            </w:r>
            <w:r>
              <w:rPr>
                <w:rFonts w:ascii="Times New Roman" w:hAnsi="Times New Roman"/>
                <w:szCs w:val="24"/>
                <w:lang w:val="lv-LV"/>
              </w:rPr>
              <w:t xml:space="preserve"> </w:t>
            </w:r>
            <w:r w:rsidRPr="00965581">
              <w:rPr>
                <w:rFonts w:ascii="Times New Roman" w:hAnsi="Times New Roman"/>
                <w:szCs w:val="24"/>
                <w:lang w:val="lv-LV"/>
              </w:rPr>
              <w:t>000</w:t>
            </w:r>
          </w:p>
        </w:tc>
      </w:tr>
      <w:tr w:rsidR="00965581" w:rsidRPr="005C5A6C" w14:paraId="0B7EEA0B" w14:textId="77777777" w:rsidTr="00A67CCA">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4E1D4287" w14:textId="49F092FC" w:rsidR="00965581" w:rsidRPr="005C5A6C" w:rsidRDefault="00965581" w:rsidP="00965581">
            <w:pPr>
              <w:jc w:val="both"/>
              <w:rPr>
                <w:rFonts w:ascii="Times New Roman" w:hAnsi="Times New Roman"/>
                <w:szCs w:val="24"/>
                <w:lang w:val="lv-LV"/>
              </w:rPr>
            </w:pPr>
            <w:r w:rsidRPr="005C5A6C">
              <w:rPr>
                <w:rFonts w:ascii="Times New Roman" w:hAnsi="Times New Roman"/>
                <w:szCs w:val="24"/>
                <w:lang w:val="lv-LV"/>
              </w:rPr>
              <w:t>Februāris</w:t>
            </w:r>
          </w:p>
        </w:tc>
        <w:tc>
          <w:tcPr>
            <w:tcW w:w="2664" w:type="pct"/>
            <w:tcBorders>
              <w:top w:val="single" w:sz="4" w:space="0" w:color="auto"/>
              <w:left w:val="single" w:sz="4" w:space="0" w:color="auto"/>
              <w:bottom w:val="single" w:sz="4" w:space="0" w:color="auto"/>
              <w:right w:val="single" w:sz="4" w:space="0" w:color="auto"/>
            </w:tcBorders>
            <w:shd w:val="clear" w:color="auto" w:fill="auto"/>
            <w:vAlign w:val="bottom"/>
          </w:tcPr>
          <w:p w14:paraId="538E0C69" w14:textId="32CFC061" w:rsidR="00965581" w:rsidRPr="00965581" w:rsidRDefault="00965581" w:rsidP="00965581">
            <w:pPr>
              <w:jc w:val="both"/>
              <w:rPr>
                <w:rFonts w:ascii="Times New Roman" w:hAnsi="Times New Roman"/>
                <w:szCs w:val="24"/>
                <w:lang w:val="lv-LV"/>
              </w:rPr>
            </w:pPr>
            <w:r w:rsidRPr="00965581">
              <w:rPr>
                <w:rFonts w:ascii="Times New Roman" w:hAnsi="Times New Roman"/>
                <w:szCs w:val="24"/>
                <w:lang w:val="lv-LV"/>
              </w:rPr>
              <w:t>9500</w:t>
            </w:r>
          </w:p>
        </w:tc>
      </w:tr>
      <w:tr w:rsidR="00965581" w:rsidRPr="005C5A6C" w14:paraId="2B7BB0C2" w14:textId="77777777" w:rsidTr="00A67CCA">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53326D57" w14:textId="2E52D7C8" w:rsidR="00965581" w:rsidRPr="005C5A6C" w:rsidRDefault="00965581" w:rsidP="00965581">
            <w:pPr>
              <w:jc w:val="both"/>
              <w:rPr>
                <w:rFonts w:ascii="Times New Roman" w:hAnsi="Times New Roman"/>
                <w:szCs w:val="24"/>
                <w:lang w:val="lv-LV"/>
              </w:rPr>
            </w:pPr>
            <w:r w:rsidRPr="005C5A6C">
              <w:rPr>
                <w:rFonts w:ascii="Times New Roman" w:hAnsi="Times New Roman"/>
                <w:szCs w:val="24"/>
                <w:lang w:val="lv-LV"/>
              </w:rPr>
              <w:t>Marts</w:t>
            </w:r>
          </w:p>
        </w:tc>
        <w:tc>
          <w:tcPr>
            <w:tcW w:w="2664" w:type="pct"/>
            <w:tcBorders>
              <w:top w:val="single" w:sz="4" w:space="0" w:color="auto"/>
              <w:left w:val="single" w:sz="4" w:space="0" w:color="auto"/>
              <w:bottom w:val="single" w:sz="4" w:space="0" w:color="auto"/>
              <w:right w:val="single" w:sz="4" w:space="0" w:color="auto"/>
            </w:tcBorders>
            <w:shd w:val="clear" w:color="auto" w:fill="auto"/>
            <w:vAlign w:val="bottom"/>
          </w:tcPr>
          <w:p w14:paraId="50997DCB" w14:textId="094516F1" w:rsidR="00965581" w:rsidRPr="00965581" w:rsidRDefault="00965581" w:rsidP="00965581">
            <w:pPr>
              <w:jc w:val="both"/>
              <w:rPr>
                <w:rFonts w:ascii="Times New Roman" w:hAnsi="Times New Roman"/>
                <w:szCs w:val="24"/>
                <w:lang w:val="lv-LV"/>
              </w:rPr>
            </w:pPr>
            <w:r w:rsidRPr="00965581">
              <w:rPr>
                <w:rFonts w:ascii="Times New Roman" w:hAnsi="Times New Roman"/>
                <w:szCs w:val="24"/>
                <w:lang w:val="lv-LV"/>
              </w:rPr>
              <w:t>9000</w:t>
            </w:r>
          </w:p>
        </w:tc>
      </w:tr>
      <w:tr w:rsidR="00965581" w:rsidRPr="005C5A6C" w14:paraId="669F3207" w14:textId="77777777" w:rsidTr="00A67CCA">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1D43EA6A" w14:textId="0D59D50C" w:rsidR="00965581" w:rsidRPr="005C5A6C" w:rsidRDefault="00965581" w:rsidP="00965581">
            <w:pPr>
              <w:jc w:val="both"/>
              <w:rPr>
                <w:rFonts w:ascii="Times New Roman" w:hAnsi="Times New Roman"/>
                <w:szCs w:val="24"/>
                <w:lang w:val="lv-LV"/>
              </w:rPr>
            </w:pPr>
            <w:r w:rsidRPr="005C5A6C">
              <w:rPr>
                <w:rFonts w:ascii="Times New Roman" w:hAnsi="Times New Roman"/>
                <w:szCs w:val="24"/>
                <w:lang w:val="lv-LV"/>
              </w:rPr>
              <w:t>Aprīlis</w:t>
            </w:r>
          </w:p>
        </w:tc>
        <w:tc>
          <w:tcPr>
            <w:tcW w:w="2664" w:type="pct"/>
            <w:tcBorders>
              <w:top w:val="single" w:sz="4" w:space="0" w:color="auto"/>
              <w:left w:val="single" w:sz="4" w:space="0" w:color="auto"/>
              <w:bottom w:val="single" w:sz="4" w:space="0" w:color="auto"/>
              <w:right w:val="single" w:sz="4" w:space="0" w:color="auto"/>
            </w:tcBorders>
            <w:shd w:val="clear" w:color="auto" w:fill="auto"/>
            <w:vAlign w:val="bottom"/>
          </w:tcPr>
          <w:p w14:paraId="518496EF" w14:textId="6FE13378" w:rsidR="00965581" w:rsidRPr="00965581" w:rsidRDefault="00965581" w:rsidP="00965581">
            <w:pPr>
              <w:jc w:val="both"/>
              <w:rPr>
                <w:rFonts w:ascii="Times New Roman" w:hAnsi="Times New Roman"/>
                <w:szCs w:val="24"/>
                <w:lang w:val="lv-LV"/>
              </w:rPr>
            </w:pPr>
            <w:r w:rsidRPr="00965581">
              <w:rPr>
                <w:rFonts w:ascii="Times New Roman" w:hAnsi="Times New Roman"/>
                <w:szCs w:val="24"/>
                <w:lang w:val="lv-LV"/>
              </w:rPr>
              <w:t>6500</w:t>
            </w:r>
          </w:p>
        </w:tc>
      </w:tr>
      <w:tr w:rsidR="00965581" w:rsidRPr="005C5A6C" w14:paraId="36875738" w14:textId="77777777" w:rsidTr="00A67CCA">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21CFA008" w14:textId="4999E000" w:rsidR="00965581" w:rsidRPr="005C5A6C" w:rsidRDefault="00965581" w:rsidP="00965581">
            <w:pPr>
              <w:jc w:val="both"/>
              <w:rPr>
                <w:rFonts w:ascii="Times New Roman" w:hAnsi="Times New Roman"/>
                <w:szCs w:val="24"/>
                <w:lang w:val="lv-LV"/>
              </w:rPr>
            </w:pPr>
            <w:r w:rsidRPr="005C5A6C">
              <w:rPr>
                <w:rFonts w:ascii="Times New Roman" w:hAnsi="Times New Roman"/>
                <w:szCs w:val="24"/>
                <w:lang w:val="lv-LV"/>
              </w:rPr>
              <w:t>Maijs</w:t>
            </w:r>
          </w:p>
        </w:tc>
        <w:tc>
          <w:tcPr>
            <w:tcW w:w="2664" w:type="pct"/>
            <w:tcBorders>
              <w:top w:val="single" w:sz="4" w:space="0" w:color="auto"/>
              <w:left w:val="single" w:sz="4" w:space="0" w:color="auto"/>
              <w:bottom w:val="single" w:sz="4" w:space="0" w:color="auto"/>
              <w:right w:val="single" w:sz="4" w:space="0" w:color="auto"/>
            </w:tcBorders>
            <w:shd w:val="clear" w:color="auto" w:fill="auto"/>
            <w:vAlign w:val="bottom"/>
          </w:tcPr>
          <w:p w14:paraId="353B1452" w14:textId="3204CD73" w:rsidR="00965581" w:rsidRPr="00965581" w:rsidRDefault="00965581" w:rsidP="00965581">
            <w:pPr>
              <w:jc w:val="both"/>
              <w:rPr>
                <w:rFonts w:ascii="Times New Roman" w:hAnsi="Times New Roman"/>
                <w:szCs w:val="24"/>
                <w:lang w:val="lv-LV"/>
              </w:rPr>
            </w:pPr>
            <w:r w:rsidRPr="00965581">
              <w:rPr>
                <w:rFonts w:ascii="Times New Roman" w:hAnsi="Times New Roman"/>
                <w:szCs w:val="24"/>
                <w:lang w:val="lv-LV"/>
              </w:rPr>
              <w:t>2000</w:t>
            </w:r>
          </w:p>
        </w:tc>
      </w:tr>
      <w:tr w:rsidR="007531DE" w:rsidRPr="005C5A6C" w14:paraId="756F8AD7" w14:textId="77777777" w:rsidTr="007531DE">
        <w:tc>
          <w:tcPr>
            <w:tcW w:w="2336" w:type="pct"/>
            <w:tcBorders>
              <w:top w:val="single" w:sz="4" w:space="0" w:color="auto"/>
              <w:left w:val="single" w:sz="4" w:space="0" w:color="auto"/>
              <w:bottom w:val="single" w:sz="4" w:space="0" w:color="auto"/>
              <w:right w:val="single" w:sz="4" w:space="0" w:color="auto"/>
            </w:tcBorders>
            <w:shd w:val="clear" w:color="auto" w:fill="auto"/>
            <w:vAlign w:val="center"/>
          </w:tcPr>
          <w:p w14:paraId="2F92581A" w14:textId="77777777" w:rsidR="007531DE" w:rsidRPr="005C5A6C" w:rsidRDefault="007531DE" w:rsidP="007531DE">
            <w:pPr>
              <w:jc w:val="both"/>
              <w:rPr>
                <w:rFonts w:ascii="Times New Roman" w:hAnsi="Times New Roman"/>
                <w:b/>
                <w:bCs/>
                <w:szCs w:val="24"/>
                <w:lang w:val="lv-LV"/>
              </w:rPr>
            </w:pPr>
            <w:r w:rsidRPr="005C5A6C">
              <w:rPr>
                <w:rFonts w:ascii="Times New Roman" w:hAnsi="Times New Roman"/>
                <w:b/>
                <w:bCs/>
                <w:szCs w:val="24"/>
                <w:lang w:val="lv-LV"/>
              </w:rPr>
              <w:t>Kopā:</w:t>
            </w:r>
          </w:p>
        </w:tc>
        <w:tc>
          <w:tcPr>
            <w:tcW w:w="2664" w:type="pct"/>
            <w:tcBorders>
              <w:top w:val="single" w:sz="4" w:space="0" w:color="auto"/>
              <w:left w:val="single" w:sz="4" w:space="0" w:color="auto"/>
              <w:bottom w:val="single" w:sz="4" w:space="0" w:color="auto"/>
              <w:right w:val="single" w:sz="4" w:space="0" w:color="auto"/>
            </w:tcBorders>
            <w:shd w:val="clear" w:color="auto" w:fill="auto"/>
          </w:tcPr>
          <w:p w14:paraId="1C4A9CD6" w14:textId="44C12EE1" w:rsidR="007531DE" w:rsidRPr="005C5A6C" w:rsidRDefault="007531DE" w:rsidP="007531DE">
            <w:pPr>
              <w:jc w:val="both"/>
              <w:rPr>
                <w:b/>
                <w:bCs/>
              </w:rPr>
            </w:pPr>
            <w:r w:rsidRPr="005C5A6C">
              <w:rPr>
                <w:b/>
                <w:bCs/>
              </w:rPr>
              <w:t>6</w:t>
            </w:r>
            <w:r w:rsidR="00965581">
              <w:rPr>
                <w:b/>
                <w:bCs/>
              </w:rPr>
              <w:t>4 000</w:t>
            </w:r>
          </w:p>
        </w:tc>
      </w:tr>
    </w:tbl>
    <w:p w14:paraId="38C6DD57" w14:textId="36697B4A" w:rsidR="00BD5437" w:rsidRPr="00965581" w:rsidRDefault="00965581" w:rsidP="00965581">
      <w:pPr>
        <w:pStyle w:val="Bezatstarpm"/>
        <w:jc w:val="both"/>
        <w:rPr>
          <w:rFonts w:ascii="Times New Roman" w:hAnsi="Times New Roman"/>
          <w:sz w:val="20"/>
          <w:szCs w:val="16"/>
          <w:lang w:val="lv-LV"/>
        </w:rPr>
      </w:pPr>
      <w:r w:rsidRPr="00965581">
        <w:rPr>
          <w:rFonts w:ascii="Times New Roman" w:hAnsi="Times New Roman"/>
          <w:sz w:val="20"/>
          <w:szCs w:val="16"/>
          <w:lang w:val="lv-LV"/>
        </w:rPr>
        <w:t>*Ievērojot faktu, ka Pircēja saražotā siltumenerģijas izlietošana (piegāde) ir atkarīga, tajā skaitā no meteoroloģiskajiem apstākļiem un lietotāju pieprasījuma, tad Pircējam nav pienākuma iegādāties visu šī līguma ietvaros plānotā kurināmās šķeldas apjoma. Plānotais kopējais piegāžu apjoms var tikt mainīts no Pircēja puses vienpusēji, bet ne vairāk kā 20 % apmērā no kopējā plānotā piegādes daudzuma (beramie m³) — attiecīgi Pircējs var nopirkt mazāku kopējo apjomu vai arī Pārdevējam var rasties pienākums piegādāt lielāku kurināmās šķeldas apjomu</w:t>
      </w:r>
      <w:r>
        <w:rPr>
          <w:rFonts w:ascii="Times New Roman" w:hAnsi="Times New Roman"/>
          <w:sz w:val="20"/>
          <w:szCs w:val="16"/>
          <w:lang w:val="lv-LV"/>
        </w:rPr>
        <w:t>.</w:t>
      </w:r>
    </w:p>
    <w:sectPr w:rsidR="00BD5437" w:rsidRPr="00965581" w:rsidSect="00965581">
      <w:pgSz w:w="11906" w:h="16838"/>
      <w:pgMar w:top="709"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G Times (E1)">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59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DF4A9A"/>
    <w:multiLevelType w:val="hybridMultilevel"/>
    <w:tmpl w:val="8FFC1C9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E91ABF"/>
    <w:multiLevelType w:val="hybridMultilevel"/>
    <w:tmpl w:val="47CA7AC2"/>
    <w:lvl w:ilvl="0" w:tplc="55702448">
      <w:start w:val="2"/>
      <w:numFmt w:val="decimal"/>
      <w:pStyle w:val="Virsraksts2"/>
      <w:lvlText w:val="%1."/>
      <w:lvlJc w:val="left"/>
      <w:pPr>
        <w:tabs>
          <w:tab w:val="num" w:pos="567"/>
        </w:tabs>
        <w:ind w:left="567" w:hanging="567"/>
      </w:pPr>
      <w:rPr>
        <w:rFonts w:cs="Times New Roman" w:hint="default"/>
      </w:rPr>
    </w:lvl>
    <w:lvl w:ilvl="1" w:tplc="67A0BB6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14613686">
    <w:abstractNumId w:val="2"/>
  </w:num>
  <w:num w:numId="2" w16cid:durableId="1850177028">
    <w:abstractNumId w:val="1"/>
  </w:num>
  <w:num w:numId="3" w16cid:durableId="55635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F3"/>
    <w:rsid w:val="000769E5"/>
    <w:rsid w:val="00143181"/>
    <w:rsid w:val="00185A71"/>
    <w:rsid w:val="002F2BB6"/>
    <w:rsid w:val="00341A6C"/>
    <w:rsid w:val="0039071A"/>
    <w:rsid w:val="003B7E6A"/>
    <w:rsid w:val="003F394A"/>
    <w:rsid w:val="0040781B"/>
    <w:rsid w:val="005C5A6C"/>
    <w:rsid w:val="005F3AB1"/>
    <w:rsid w:val="00707067"/>
    <w:rsid w:val="007531DE"/>
    <w:rsid w:val="0079167E"/>
    <w:rsid w:val="007D79F3"/>
    <w:rsid w:val="008F420A"/>
    <w:rsid w:val="00965581"/>
    <w:rsid w:val="00A81288"/>
    <w:rsid w:val="00BD5437"/>
    <w:rsid w:val="00C94905"/>
    <w:rsid w:val="00D348DE"/>
    <w:rsid w:val="00D4119C"/>
    <w:rsid w:val="00E56B34"/>
    <w:rsid w:val="00F273D3"/>
    <w:rsid w:val="00FB3A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B362"/>
  <w15:chartTrackingRefBased/>
  <w15:docId w15:val="{60B376D7-CE02-434D-83C7-0C2B98F4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79F3"/>
    <w:pPr>
      <w:spacing w:after="0" w:line="240" w:lineRule="auto"/>
    </w:pPr>
    <w:rPr>
      <w:rFonts w:ascii="CG Times (E1)" w:eastAsia="Times New Roman" w:hAnsi="CG Times (E1)" w:cs="Times New Roman"/>
      <w:szCs w:val="20"/>
      <w:lang w:val="en-GB"/>
    </w:rPr>
  </w:style>
  <w:style w:type="paragraph" w:styleId="Virsraksts2">
    <w:name w:val="heading 2"/>
    <w:basedOn w:val="Parasts"/>
    <w:next w:val="Parasts"/>
    <w:link w:val="Virsraksts2Rakstz"/>
    <w:uiPriority w:val="99"/>
    <w:qFormat/>
    <w:rsid w:val="007D79F3"/>
    <w:pPr>
      <w:keepNext/>
      <w:numPr>
        <w:numId w:val="1"/>
      </w:numPr>
      <w:spacing w:before="120"/>
      <w:outlineLvl w:val="1"/>
    </w:pPr>
    <w:rPr>
      <w:rFonts w:ascii="Times New Roman" w:hAnsi="Times New Roman"/>
      <w:b/>
      <w:sz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rsid w:val="007D79F3"/>
    <w:rPr>
      <w:rFonts w:eastAsia="Times New Roman" w:cs="Times New Roman"/>
      <w:b/>
      <w:sz w:val="20"/>
      <w:szCs w:val="20"/>
      <w:lang w:val="x-none" w:eastAsia="x-none"/>
    </w:rPr>
  </w:style>
  <w:style w:type="paragraph" w:styleId="Bezatstarpm">
    <w:name w:val="No Spacing"/>
    <w:link w:val="BezatstarpmRakstz"/>
    <w:uiPriority w:val="1"/>
    <w:qFormat/>
    <w:rsid w:val="0079167E"/>
    <w:pPr>
      <w:spacing w:after="0" w:line="240" w:lineRule="auto"/>
    </w:pPr>
    <w:rPr>
      <w:rFonts w:ascii="CG Times (E1)" w:eastAsia="Times New Roman" w:hAnsi="CG Times (E1)" w:cs="Times New Roman"/>
      <w:szCs w:val="20"/>
      <w:lang w:val="en-GB"/>
    </w:rPr>
  </w:style>
  <w:style w:type="paragraph" w:styleId="Sarakstarindkopa">
    <w:name w:val="List Paragraph"/>
    <w:basedOn w:val="Parasts"/>
    <w:uiPriority w:val="34"/>
    <w:qFormat/>
    <w:rsid w:val="002F2BB6"/>
    <w:pPr>
      <w:ind w:left="720"/>
      <w:contextualSpacing/>
    </w:pPr>
  </w:style>
  <w:style w:type="character" w:customStyle="1" w:styleId="BezatstarpmRakstz">
    <w:name w:val="Bez atstarpēm Rakstz."/>
    <w:link w:val="Bezatstarpm"/>
    <w:uiPriority w:val="1"/>
    <w:locked/>
    <w:rsid w:val="002F2BB6"/>
    <w:rPr>
      <w:rFonts w:ascii="CG Times (E1)" w:eastAsia="Times New Roman" w:hAnsi="CG Times (E1)"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327709">
      <w:bodyDiv w:val="1"/>
      <w:marLeft w:val="0"/>
      <w:marRight w:val="0"/>
      <w:marTop w:val="0"/>
      <w:marBottom w:val="0"/>
      <w:divBdr>
        <w:top w:val="none" w:sz="0" w:space="0" w:color="auto"/>
        <w:left w:val="none" w:sz="0" w:space="0" w:color="auto"/>
        <w:bottom w:val="none" w:sz="0" w:space="0" w:color="auto"/>
        <w:right w:val="none" w:sz="0" w:space="0" w:color="auto"/>
      </w:divBdr>
    </w:div>
    <w:div w:id="9821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1624</Words>
  <Characters>926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Emīls Moris</dc:creator>
  <cp:keywords/>
  <dc:description/>
  <cp:lastModifiedBy>Emīls Moris ZAB, SIA</cp:lastModifiedBy>
  <cp:revision>4</cp:revision>
  <dcterms:created xsi:type="dcterms:W3CDTF">2024-04-09T05:10:00Z</dcterms:created>
  <dcterms:modified xsi:type="dcterms:W3CDTF">2024-05-14T06:10:00Z</dcterms:modified>
</cp:coreProperties>
</file>